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6790" w14:textId="60976B57" w:rsidR="00421281" w:rsidRDefault="00421281" w:rsidP="00421281">
      <w:pPr>
        <w:ind w:left="2160" w:hanging="2160"/>
        <w:jc w:val="both"/>
        <w:rPr>
          <w:sz w:val="24"/>
          <w:szCs w:val="24"/>
        </w:rPr>
      </w:pPr>
      <w:r>
        <w:rPr>
          <w:sz w:val="24"/>
          <w:szCs w:val="24"/>
        </w:rPr>
        <w:t>Case Number:</w:t>
      </w:r>
      <w:r w:rsidR="00FA7F7C">
        <w:rPr>
          <w:sz w:val="24"/>
          <w:szCs w:val="24"/>
        </w:rPr>
        <w:t xml:space="preserve">  MOD-SE-17-03</w:t>
      </w:r>
    </w:p>
    <w:p w14:paraId="56B5DB2C" w14:textId="77777777" w:rsidR="00421281" w:rsidRDefault="00421281" w:rsidP="00421281">
      <w:pPr>
        <w:ind w:left="2160" w:hanging="2160"/>
        <w:jc w:val="both"/>
        <w:rPr>
          <w:sz w:val="24"/>
          <w:szCs w:val="24"/>
        </w:rPr>
      </w:pPr>
    </w:p>
    <w:p w14:paraId="19A61B5A" w14:textId="248ABC21" w:rsidR="00421281" w:rsidRDefault="00421281" w:rsidP="00421281">
      <w:pPr>
        <w:ind w:left="2160" w:hanging="2160"/>
        <w:jc w:val="both"/>
        <w:rPr>
          <w:sz w:val="24"/>
          <w:szCs w:val="24"/>
        </w:rPr>
      </w:pPr>
      <w:r>
        <w:rPr>
          <w:sz w:val="24"/>
          <w:szCs w:val="24"/>
        </w:rPr>
        <w:t xml:space="preserve">Applicant: </w:t>
      </w:r>
      <w:r w:rsidR="000406FC">
        <w:rPr>
          <w:sz w:val="24"/>
          <w:szCs w:val="24"/>
        </w:rPr>
        <w:t>Madden Solar Center LLC</w:t>
      </w:r>
    </w:p>
    <w:p w14:paraId="1474028C" w14:textId="77777777" w:rsidR="00421281" w:rsidRDefault="00421281" w:rsidP="00421281">
      <w:pPr>
        <w:ind w:left="2160" w:hanging="2160"/>
        <w:jc w:val="both"/>
        <w:rPr>
          <w:sz w:val="24"/>
          <w:szCs w:val="24"/>
        </w:rPr>
      </w:pPr>
    </w:p>
    <w:p w14:paraId="419266D6" w14:textId="3A7C9E09" w:rsidR="00421281" w:rsidRDefault="00421281" w:rsidP="00421281">
      <w:pPr>
        <w:ind w:left="2160" w:hanging="2160"/>
        <w:jc w:val="both"/>
        <w:rPr>
          <w:sz w:val="24"/>
          <w:szCs w:val="24"/>
        </w:rPr>
      </w:pPr>
      <w:r>
        <w:rPr>
          <w:sz w:val="24"/>
          <w:szCs w:val="24"/>
        </w:rPr>
        <w:t xml:space="preserve">Owner: </w:t>
      </w:r>
      <w:r w:rsidR="00FA7F7C">
        <w:rPr>
          <w:sz w:val="24"/>
          <w:szCs w:val="24"/>
        </w:rPr>
        <w:t>USC Timber LLC</w:t>
      </w:r>
    </w:p>
    <w:p w14:paraId="287FFF81" w14:textId="77777777" w:rsidR="00421281" w:rsidRDefault="00421281" w:rsidP="00421281">
      <w:pPr>
        <w:ind w:left="2160" w:hanging="2160"/>
        <w:jc w:val="both"/>
        <w:rPr>
          <w:sz w:val="24"/>
          <w:szCs w:val="24"/>
        </w:rPr>
      </w:pPr>
    </w:p>
    <w:p w14:paraId="5179B095" w14:textId="1957A7A1" w:rsidR="00421281" w:rsidRDefault="00421281" w:rsidP="00421281">
      <w:pPr>
        <w:ind w:left="2160" w:hanging="2160"/>
        <w:jc w:val="both"/>
        <w:rPr>
          <w:sz w:val="24"/>
          <w:szCs w:val="24"/>
        </w:rPr>
      </w:pPr>
      <w:r>
        <w:rPr>
          <w:sz w:val="24"/>
          <w:szCs w:val="24"/>
        </w:rPr>
        <w:t>Property Location:</w:t>
      </w:r>
      <w:r w:rsidR="000406FC">
        <w:rPr>
          <w:sz w:val="24"/>
          <w:szCs w:val="24"/>
        </w:rPr>
        <w:tab/>
        <w:t>No address assigned.</w:t>
      </w:r>
    </w:p>
    <w:p w14:paraId="52C698F7" w14:textId="5BBA0B24" w:rsidR="000406FC" w:rsidRDefault="000406FC" w:rsidP="00421281">
      <w:pPr>
        <w:ind w:left="2160" w:hanging="2160"/>
        <w:jc w:val="both"/>
        <w:rPr>
          <w:sz w:val="24"/>
          <w:szCs w:val="24"/>
        </w:rPr>
      </w:pPr>
      <w:r>
        <w:rPr>
          <w:sz w:val="24"/>
          <w:szCs w:val="24"/>
        </w:rPr>
        <w:tab/>
        <w:t>GA Hwy 18</w:t>
      </w:r>
    </w:p>
    <w:p w14:paraId="0B4A4BA2" w14:textId="11D181D9" w:rsidR="000406FC" w:rsidRDefault="000406FC" w:rsidP="00421281">
      <w:pPr>
        <w:ind w:left="2160" w:hanging="2160"/>
        <w:jc w:val="both"/>
        <w:rPr>
          <w:sz w:val="24"/>
          <w:szCs w:val="24"/>
        </w:rPr>
      </w:pPr>
      <w:r>
        <w:rPr>
          <w:sz w:val="24"/>
          <w:szCs w:val="24"/>
        </w:rPr>
        <w:tab/>
        <w:t>Concord, GA 30206</w:t>
      </w:r>
    </w:p>
    <w:p w14:paraId="2D6F23FF" w14:textId="41D5A877" w:rsidR="000406FC" w:rsidRDefault="000406FC" w:rsidP="00421281">
      <w:pPr>
        <w:ind w:left="2160" w:hanging="2160"/>
        <w:jc w:val="both"/>
        <w:rPr>
          <w:sz w:val="24"/>
          <w:szCs w:val="24"/>
        </w:rPr>
      </w:pPr>
      <w:r>
        <w:rPr>
          <w:sz w:val="24"/>
          <w:szCs w:val="24"/>
        </w:rPr>
        <w:tab/>
        <w:t>Landlots: 184, 169, 166</w:t>
      </w:r>
    </w:p>
    <w:p w14:paraId="3CACA2B1" w14:textId="6B152051" w:rsidR="000406FC" w:rsidRDefault="000406FC" w:rsidP="00421281">
      <w:pPr>
        <w:ind w:left="2160" w:hanging="2160"/>
        <w:jc w:val="both"/>
        <w:rPr>
          <w:sz w:val="24"/>
          <w:szCs w:val="24"/>
        </w:rPr>
      </w:pPr>
      <w:r>
        <w:rPr>
          <w:sz w:val="24"/>
          <w:szCs w:val="24"/>
        </w:rPr>
        <w:tab/>
        <w:t>District:  9</w:t>
      </w:r>
    </w:p>
    <w:p w14:paraId="26F4158F" w14:textId="3E0DC4DE" w:rsidR="00421281" w:rsidRDefault="000406FC" w:rsidP="00421281">
      <w:pPr>
        <w:ind w:left="2160" w:hanging="2160"/>
        <w:jc w:val="both"/>
        <w:rPr>
          <w:sz w:val="24"/>
          <w:szCs w:val="24"/>
        </w:rPr>
      </w:pPr>
      <w:r>
        <w:rPr>
          <w:sz w:val="24"/>
          <w:szCs w:val="24"/>
        </w:rPr>
        <w:tab/>
        <w:t>Parcel ID’s:  032-012, 031-004, 031-003A</w:t>
      </w:r>
    </w:p>
    <w:p w14:paraId="7CEBC3FF" w14:textId="1318C160" w:rsidR="00421281" w:rsidRDefault="00421281" w:rsidP="00421281">
      <w:pPr>
        <w:ind w:left="2160" w:hanging="2160"/>
        <w:jc w:val="both"/>
        <w:rPr>
          <w:sz w:val="24"/>
          <w:szCs w:val="24"/>
        </w:rPr>
      </w:pPr>
      <w:r>
        <w:rPr>
          <w:sz w:val="24"/>
          <w:szCs w:val="24"/>
        </w:rPr>
        <w:t>Acreage:</w:t>
      </w:r>
      <w:r w:rsidR="00FA7F7C">
        <w:rPr>
          <w:sz w:val="24"/>
          <w:szCs w:val="24"/>
        </w:rPr>
        <w:t xml:space="preserve"> 1</w:t>
      </w:r>
      <w:r w:rsidR="00905F19">
        <w:rPr>
          <w:sz w:val="24"/>
          <w:szCs w:val="24"/>
        </w:rPr>
        <w:t>67</w:t>
      </w:r>
      <w:r w:rsidR="00FA7F7C">
        <w:rPr>
          <w:sz w:val="24"/>
          <w:szCs w:val="24"/>
        </w:rPr>
        <w:t>1 acres</w:t>
      </w:r>
    </w:p>
    <w:p w14:paraId="7BCAFE8D" w14:textId="77777777" w:rsidR="00421281" w:rsidRDefault="00421281" w:rsidP="00421281">
      <w:pPr>
        <w:ind w:left="2160" w:hanging="2160"/>
        <w:jc w:val="both"/>
        <w:rPr>
          <w:sz w:val="24"/>
          <w:szCs w:val="24"/>
        </w:rPr>
      </w:pPr>
    </w:p>
    <w:p w14:paraId="17C9A3EF" w14:textId="1B9CE39A" w:rsidR="00421281" w:rsidRDefault="00421281" w:rsidP="00421281">
      <w:pPr>
        <w:ind w:left="2160" w:hanging="2160"/>
        <w:jc w:val="both"/>
        <w:rPr>
          <w:sz w:val="24"/>
          <w:szCs w:val="24"/>
        </w:rPr>
      </w:pPr>
      <w:r>
        <w:rPr>
          <w:sz w:val="24"/>
          <w:szCs w:val="24"/>
        </w:rPr>
        <w:t>Commission District:</w:t>
      </w:r>
      <w:r w:rsidR="00FA7F7C">
        <w:rPr>
          <w:sz w:val="24"/>
          <w:szCs w:val="24"/>
        </w:rPr>
        <w:t xml:space="preserve"> District</w:t>
      </w:r>
      <w:r w:rsidR="005E00B2">
        <w:rPr>
          <w:sz w:val="24"/>
          <w:szCs w:val="24"/>
        </w:rPr>
        <w:t xml:space="preserve"> 1 and </w:t>
      </w:r>
      <w:r w:rsidR="00690598">
        <w:rPr>
          <w:sz w:val="24"/>
          <w:szCs w:val="24"/>
        </w:rPr>
        <w:t>2</w:t>
      </w:r>
      <w:r w:rsidR="00FA7F7C">
        <w:rPr>
          <w:sz w:val="24"/>
          <w:szCs w:val="24"/>
        </w:rPr>
        <w:t xml:space="preserve">, </w:t>
      </w:r>
      <w:r w:rsidR="005E00B2">
        <w:rPr>
          <w:sz w:val="24"/>
          <w:szCs w:val="24"/>
        </w:rPr>
        <w:t xml:space="preserve">Timmy Daniel and </w:t>
      </w:r>
      <w:r w:rsidR="00FA7F7C">
        <w:rPr>
          <w:sz w:val="24"/>
          <w:szCs w:val="24"/>
        </w:rPr>
        <w:t>Tim Guy</w:t>
      </w:r>
    </w:p>
    <w:p w14:paraId="2DA2D933" w14:textId="77777777" w:rsidR="00421281" w:rsidRDefault="00421281" w:rsidP="00421281">
      <w:pPr>
        <w:ind w:left="2160" w:hanging="2160"/>
        <w:jc w:val="both"/>
        <w:rPr>
          <w:sz w:val="24"/>
          <w:szCs w:val="24"/>
        </w:rPr>
      </w:pPr>
    </w:p>
    <w:p w14:paraId="43E6976C" w14:textId="77777777" w:rsidR="00FA7F7C" w:rsidRDefault="00421281" w:rsidP="00421281">
      <w:pPr>
        <w:ind w:left="2160" w:hanging="2160"/>
        <w:jc w:val="both"/>
        <w:rPr>
          <w:sz w:val="24"/>
          <w:szCs w:val="24"/>
        </w:rPr>
      </w:pPr>
      <w:r>
        <w:rPr>
          <w:sz w:val="24"/>
          <w:szCs w:val="24"/>
        </w:rPr>
        <w:t>FEMA Data:</w:t>
      </w:r>
      <w:r w:rsidR="00FA7F7C">
        <w:rPr>
          <w:sz w:val="24"/>
          <w:szCs w:val="24"/>
        </w:rPr>
        <w:t xml:space="preserve">  The southern and eastern borders of parcel 032-012 lie within the </w:t>
      </w:r>
    </w:p>
    <w:p w14:paraId="5B73370B" w14:textId="58976ABC" w:rsidR="00421281" w:rsidRDefault="00FA7F7C" w:rsidP="00421281">
      <w:pPr>
        <w:ind w:left="2160" w:hanging="2160"/>
        <w:jc w:val="both"/>
        <w:rPr>
          <w:sz w:val="24"/>
          <w:szCs w:val="24"/>
        </w:rPr>
      </w:pPr>
      <w:r>
        <w:rPr>
          <w:sz w:val="24"/>
          <w:szCs w:val="24"/>
        </w:rPr>
        <w:t>flood zone.</w:t>
      </w:r>
    </w:p>
    <w:p w14:paraId="6E137FB4" w14:textId="77777777" w:rsidR="00421281" w:rsidRDefault="00421281" w:rsidP="00421281">
      <w:pPr>
        <w:ind w:left="2160" w:hanging="2160"/>
        <w:jc w:val="both"/>
        <w:rPr>
          <w:sz w:val="24"/>
          <w:szCs w:val="24"/>
        </w:rPr>
      </w:pPr>
    </w:p>
    <w:p w14:paraId="784DD3D1" w14:textId="77777777" w:rsidR="00FA7F7C" w:rsidRDefault="00421281" w:rsidP="00421281">
      <w:pPr>
        <w:ind w:left="2160" w:hanging="2160"/>
        <w:jc w:val="both"/>
        <w:rPr>
          <w:sz w:val="24"/>
          <w:szCs w:val="24"/>
        </w:rPr>
      </w:pPr>
      <w:r>
        <w:rPr>
          <w:sz w:val="24"/>
          <w:szCs w:val="24"/>
        </w:rPr>
        <w:t>Request:</w:t>
      </w:r>
      <w:r w:rsidR="00FA7F7C">
        <w:rPr>
          <w:sz w:val="24"/>
          <w:szCs w:val="24"/>
        </w:rPr>
        <w:t xml:space="preserve">  Applicant is requesting a modification to the previously approved </w:t>
      </w:r>
    </w:p>
    <w:p w14:paraId="14B30ADF" w14:textId="77777777" w:rsidR="00FA7F7C" w:rsidRDefault="00FA7F7C" w:rsidP="00421281">
      <w:pPr>
        <w:ind w:left="2160" w:hanging="2160"/>
        <w:jc w:val="both"/>
        <w:rPr>
          <w:sz w:val="24"/>
          <w:szCs w:val="24"/>
        </w:rPr>
      </w:pPr>
      <w:r>
        <w:rPr>
          <w:sz w:val="24"/>
          <w:szCs w:val="24"/>
        </w:rPr>
        <w:t xml:space="preserve">special exception.  They are looking to increase the size of the project by </w:t>
      </w:r>
    </w:p>
    <w:p w14:paraId="7D170D01" w14:textId="2CA36DAB" w:rsidR="00421281" w:rsidRDefault="00FA7F7C" w:rsidP="00421281">
      <w:pPr>
        <w:ind w:left="2160" w:hanging="2160"/>
        <w:jc w:val="both"/>
        <w:rPr>
          <w:sz w:val="24"/>
          <w:szCs w:val="24"/>
        </w:rPr>
      </w:pPr>
      <w:r>
        <w:rPr>
          <w:sz w:val="24"/>
          <w:szCs w:val="24"/>
        </w:rPr>
        <w:t>approximately 200 acres and increase the number of solar panels.</w:t>
      </w:r>
    </w:p>
    <w:p w14:paraId="785ADFDD" w14:textId="77777777" w:rsidR="00421281" w:rsidRDefault="00421281" w:rsidP="00421281">
      <w:pPr>
        <w:ind w:left="2160" w:hanging="2160"/>
        <w:jc w:val="both"/>
        <w:rPr>
          <w:sz w:val="24"/>
          <w:szCs w:val="24"/>
        </w:rPr>
      </w:pPr>
    </w:p>
    <w:p w14:paraId="514B0EE8" w14:textId="20A94A6E" w:rsidR="00421281" w:rsidRDefault="00421281" w:rsidP="00421281">
      <w:pPr>
        <w:ind w:left="2160" w:hanging="2160"/>
        <w:jc w:val="both"/>
        <w:rPr>
          <w:sz w:val="24"/>
          <w:szCs w:val="24"/>
        </w:rPr>
      </w:pPr>
      <w:r>
        <w:rPr>
          <w:sz w:val="24"/>
          <w:szCs w:val="24"/>
        </w:rPr>
        <w:t>Code Reference:</w:t>
      </w:r>
      <w:r w:rsidR="00FA7F7C">
        <w:rPr>
          <w:sz w:val="24"/>
          <w:szCs w:val="24"/>
        </w:rPr>
        <w:t xml:space="preserve">  CH 166 Solar Farm, CH 156.27 Special Exception</w:t>
      </w:r>
    </w:p>
    <w:p w14:paraId="4787AA3B" w14:textId="4BFF34B0" w:rsidR="00421281" w:rsidRDefault="00421281" w:rsidP="00421281">
      <w:pPr>
        <w:ind w:left="2160" w:hanging="2160"/>
        <w:jc w:val="both"/>
        <w:rPr>
          <w:sz w:val="24"/>
          <w:szCs w:val="24"/>
        </w:rPr>
      </w:pPr>
    </w:p>
    <w:p w14:paraId="67CB7D36" w14:textId="77777777" w:rsidR="00FA7F7C" w:rsidRDefault="00FA7F7C" w:rsidP="00421281">
      <w:pPr>
        <w:ind w:left="2160" w:hanging="2160"/>
        <w:jc w:val="both"/>
        <w:rPr>
          <w:sz w:val="24"/>
          <w:szCs w:val="24"/>
        </w:rPr>
      </w:pPr>
      <w:r>
        <w:rPr>
          <w:sz w:val="24"/>
          <w:szCs w:val="24"/>
        </w:rPr>
        <w:t xml:space="preserve">Staff Analysis:  SE-17-03 was previously reviewed by the Environmental Review </w:t>
      </w:r>
    </w:p>
    <w:p w14:paraId="0B7121F6" w14:textId="77777777" w:rsidR="00FA7F7C" w:rsidRDefault="00FA7F7C" w:rsidP="00421281">
      <w:pPr>
        <w:ind w:left="2160" w:hanging="2160"/>
        <w:jc w:val="both"/>
        <w:rPr>
          <w:sz w:val="24"/>
          <w:szCs w:val="24"/>
        </w:rPr>
      </w:pPr>
      <w:r>
        <w:rPr>
          <w:sz w:val="24"/>
          <w:szCs w:val="24"/>
        </w:rPr>
        <w:t xml:space="preserve">Board, recommended for approval with conditions by the Board of Appeals, and </w:t>
      </w:r>
    </w:p>
    <w:p w14:paraId="5AA7B24F" w14:textId="77777777" w:rsidR="00FA7F7C" w:rsidRDefault="00FA7F7C" w:rsidP="00421281">
      <w:pPr>
        <w:ind w:left="2160" w:hanging="2160"/>
        <w:jc w:val="both"/>
        <w:rPr>
          <w:sz w:val="24"/>
          <w:szCs w:val="24"/>
        </w:rPr>
      </w:pPr>
      <w:r>
        <w:rPr>
          <w:sz w:val="24"/>
          <w:szCs w:val="24"/>
        </w:rPr>
        <w:t xml:space="preserve">Approved with conditions by the Board of Commissioners.  The application </w:t>
      </w:r>
    </w:p>
    <w:p w14:paraId="6848468D" w14:textId="77777777" w:rsidR="00FA7F7C" w:rsidRDefault="00FA7F7C" w:rsidP="00421281">
      <w:pPr>
        <w:ind w:left="2160" w:hanging="2160"/>
        <w:jc w:val="both"/>
        <w:rPr>
          <w:sz w:val="24"/>
          <w:szCs w:val="24"/>
        </w:rPr>
      </w:pPr>
      <w:r>
        <w:rPr>
          <w:sz w:val="24"/>
          <w:szCs w:val="24"/>
        </w:rPr>
        <w:t xml:space="preserve">before you now incorporates the same restrictions imposed from the previous </w:t>
      </w:r>
    </w:p>
    <w:p w14:paraId="6F6F5998" w14:textId="77777777" w:rsidR="005E00B2" w:rsidRDefault="00FA7F7C" w:rsidP="005E00B2">
      <w:pPr>
        <w:ind w:left="2160" w:hanging="2160"/>
        <w:jc w:val="both"/>
        <w:rPr>
          <w:sz w:val="24"/>
          <w:szCs w:val="24"/>
        </w:rPr>
      </w:pPr>
      <w:r>
        <w:rPr>
          <w:sz w:val="24"/>
          <w:szCs w:val="24"/>
        </w:rPr>
        <w:t>application but expands the s</w:t>
      </w:r>
      <w:r w:rsidR="0093628F">
        <w:rPr>
          <w:sz w:val="24"/>
          <w:szCs w:val="24"/>
        </w:rPr>
        <w:t>iz</w:t>
      </w:r>
      <w:r>
        <w:rPr>
          <w:sz w:val="24"/>
          <w:szCs w:val="24"/>
        </w:rPr>
        <w:t xml:space="preserve">e of the project.  </w:t>
      </w:r>
      <w:r w:rsidR="005E00B2">
        <w:rPr>
          <w:sz w:val="24"/>
          <w:szCs w:val="24"/>
        </w:rPr>
        <w:t xml:space="preserve">The updated site plan also </w:t>
      </w:r>
    </w:p>
    <w:p w14:paraId="1DCD1D53" w14:textId="77777777" w:rsidR="005E00B2" w:rsidRDefault="005E00B2" w:rsidP="005E00B2">
      <w:pPr>
        <w:ind w:left="2160" w:hanging="2160"/>
        <w:jc w:val="both"/>
        <w:rPr>
          <w:sz w:val="24"/>
          <w:szCs w:val="24"/>
        </w:rPr>
      </w:pPr>
      <w:r>
        <w:rPr>
          <w:sz w:val="24"/>
          <w:szCs w:val="24"/>
        </w:rPr>
        <w:t xml:space="preserve">includes a 200-foot setback from Flat Shoals Rd. which is the same stipulation for </w:t>
      </w:r>
    </w:p>
    <w:p w14:paraId="60EAAB6D" w14:textId="77777777" w:rsidR="005E00B2" w:rsidRDefault="005E00B2" w:rsidP="005E00B2">
      <w:pPr>
        <w:ind w:left="2160" w:hanging="2160"/>
        <w:jc w:val="both"/>
        <w:rPr>
          <w:bCs/>
          <w:sz w:val="24"/>
          <w:szCs w:val="24"/>
        </w:rPr>
      </w:pPr>
      <w:r>
        <w:rPr>
          <w:sz w:val="24"/>
          <w:szCs w:val="24"/>
        </w:rPr>
        <w:t xml:space="preserve">Hwy 18, Nixon Rd., and Madden </w:t>
      </w:r>
      <w:r>
        <w:rPr>
          <w:bCs/>
          <w:sz w:val="24"/>
          <w:szCs w:val="24"/>
        </w:rPr>
        <w:t xml:space="preserve">Bridge Rd. approved in the original application </w:t>
      </w:r>
    </w:p>
    <w:p w14:paraId="25BF703B" w14:textId="77777777" w:rsidR="005E00B2" w:rsidRPr="00F74AAC" w:rsidRDefault="005E00B2" w:rsidP="005E00B2">
      <w:pPr>
        <w:ind w:left="2160" w:hanging="2160"/>
        <w:jc w:val="both"/>
        <w:rPr>
          <w:bCs/>
          <w:sz w:val="24"/>
          <w:szCs w:val="24"/>
        </w:rPr>
      </w:pPr>
      <w:r>
        <w:rPr>
          <w:bCs/>
          <w:sz w:val="24"/>
          <w:szCs w:val="24"/>
        </w:rPr>
        <w:t>SE-17-03.</w:t>
      </w:r>
    </w:p>
    <w:p w14:paraId="1C6C1651" w14:textId="79A0F305" w:rsidR="00F17597" w:rsidRDefault="00F17597" w:rsidP="00421281">
      <w:pPr>
        <w:ind w:left="2160" w:hanging="2160"/>
        <w:jc w:val="both"/>
        <w:rPr>
          <w:sz w:val="24"/>
          <w:szCs w:val="24"/>
        </w:rPr>
      </w:pPr>
    </w:p>
    <w:p w14:paraId="70EFEA51" w14:textId="77777777" w:rsidR="00F17597" w:rsidRDefault="00F17597" w:rsidP="00421281">
      <w:pPr>
        <w:ind w:left="2160" w:hanging="2160"/>
        <w:jc w:val="both"/>
        <w:rPr>
          <w:sz w:val="24"/>
          <w:szCs w:val="24"/>
        </w:rPr>
      </w:pPr>
      <w:r w:rsidRPr="00F85C75">
        <w:rPr>
          <w:sz w:val="24"/>
          <w:szCs w:val="24"/>
        </w:rPr>
        <w:t>The subject property is located in Landlots 184, 169, and 166 of the 9</w:t>
      </w:r>
      <w:r w:rsidRPr="00F85C75">
        <w:rPr>
          <w:sz w:val="24"/>
          <w:szCs w:val="24"/>
          <w:vertAlign w:val="superscript"/>
        </w:rPr>
        <w:t>th</w:t>
      </w:r>
      <w:r w:rsidRPr="00F85C75">
        <w:rPr>
          <w:sz w:val="24"/>
          <w:szCs w:val="24"/>
        </w:rPr>
        <w:t xml:space="preserve"> land </w:t>
      </w:r>
    </w:p>
    <w:p w14:paraId="43803EFC" w14:textId="77777777" w:rsidR="00905F19" w:rsidRDefault="00F17597" w:rsidP="00421281">
      <w:pPr>
        <w:ind w:left="2160" w:hanging="2160"/>
        <w:jc w:val="both"/>
        <w:rPr>
          <w:sz w:val="24"/>
          <w:szCs w:val="24"/>
        </w:rPr>
      </w:pPr>
      <w:r w:rsidRPr="00F85C75">
        <w:rPr>
          <w:sz w:val="24"/>
          <w:szCs w:val="24"/>
        </w:rPr>
        <w:t>district of Pike County.  The total property spans</w:t>
      </w:r>
      <w:r w:rsidR="00905F19">
        <w:rPr>
          <w:sz w:val="24"/>
          <w:szCs w:val="24"/>
        </w:rPr>
        <w:t xml:space="preserve"> nearly 1,671 acres over</w:t>
      </w:r>
      <w:r w:rsidRPr="00F85C75">
        <w:rPr>
          <w:sz w:val="24"/>
          <w:szCs w:val="24"/>
        </w:rPr>
        <w:t xml:space="preserve"> the </w:t>
      </w:r>
    </w:p>
    <w:p w14:paraId="7A6E6594" w14:textId="77777777" w:rsidR="00905F19" w:rsidRDefault="00F17597" w:rsidP="00421281">
      <w:pPr>
        <w:ind w:left="2160" w:hanging="2160"/>
        <w:jc w:val="both"/>
        <w:rPr>
          <w:sz w:val="24"/>
          <w:szCs w:val="24"/>
        </w:rPr>
      </w:pPr>
      <w:r w:rsidRPr="00F85C75">
        <w:rPr>
          <w:sz w:val="24"/>
          <w:szCs w:val="24"/>
        </w:rPr>
        <w:t xml:space="preserve">following parcel ID’s: 031-003A, 031-004, and 031-012.  The subject property </w:t>
      </w:r>
    </w:p>
    <w:p w14:paraId="76C72F36" w14:textId="77777777" w:rsidR="00905F19" w:rsidRDefault="00F17597" w:rsidP="00421281">
      <w:pPr>
        <w:ind w:left="2160" w:hanging="2160"/>
        <w:jc w:val="both"/>
        <w:rPr>
          <w:sz w:val="24"/>
          <w:szCs w:val="24"/>
        </w:rPr>
      </w:pPr>
      <w:r w:rsidRPr="00F85C75">
        <w:rPr>
          <w:sz w:val="24"/>
          <w:szCs w:val="24"/>
        </w:rPr>
        <w:t xml:space="preserve">has approximately 9,300 feet of road frontage along Hwy 18, approximately 4,930 </w:t>
      </w:r>
    </w:p>
    <w:p w14:paraId="1801E8BB" w14:textId="77777777" w:rsidR="00905F19" w:rsidRDefault="00F17597" w:rsidP="00421281">
      <w:pPr>
        <w:ind w:left="2160" w:hanging="2160"/>
        <w:jc w:val="both"/>
        <w:rPr>
          <w:sz w:val="24"/>
          <w:szCs w:val="24"/>
        </w:rPr>
      </w:pPr>
      <w:r w:rsidRPr="00F85C75">
        <w:rPr>
          <w:sz w:val="24"/>
          <w:szCs w:val="24"/>
        </w:rPr>
        <w:t xml:space="preserve">feet of frontage along Flat Shoals Rd., approximately 2,290 feet of frontage along </w:t>
      </w:r>
    </w:p>
    <w:p w14:paraId="7C39B441" w14:textId="77777777" w:rsidR="00905F19" w:rsidRDefault="00F17597" w:rsidP="00421281">
      <w:pPr>
        <w:ind w:left="2160" w:hanging="2160"/>
        <w:jc w:val="both"/>
        <w:rPr>
          <w:sz w:val="24"/>
          <w:szCs w:val="24"/>
        </w:rPr>
      </w:pPr>
      <w:r>
        <w:rPr>
          <w:sz w:val="24"/>
          <w:szCs w:val="24"/>
        </w:rPr>
        <w:lastRenderedPageBreak/>
        <w:t>Curtis</w:t>
      </w:r>
      <w:r w:rsidRPr="00F85C75">
        <w:rPr>
          <w:sz w:val="24"/>
          <w:szCs w:val="24"/>
        </w:rPr>
        <w:t xml:space="preserve"> Rd., approximately 1,930 feet of frontage along Nixon Rd., and </w:t>
      </w:r>
    </w:p>
    <w:p w14:paraId="2397249E" w14:textId="77777777" w:rsidR="00905F19" w:rsidRDefault="00F17597" w:rsidP="00421281">
      <w:pPr>
        <w:ind w:left="2160" w:hanging="2160"/>
        <w:jc w:val="both"/>
        <w:rPr>
          <w:sz w:val="24"/>
          <w:szCs w:val="24"/>
        </w:rPr>
      </w:pPr>
      <w:r w:rsidRPr="00F85C75">
        <w:rPr>
          <w:sz w:val="24"/>
          <w:szCs w:val="24"/>
        </w:rPr>
        <w:t xml:space="preserve">approximately 4,000 feet of frontage along Madden Bridge Rd.  Applicant has </w:t>
      </w:r>
    </w:p>
    <w:p w14:paraId="1DD60586" w14:textId="77777777" w:rsidR="002D38E4" w:rsidRDefault="00F17597" w:rsidP="00421281">
      <w:pPr>
        <w:ind w:left="2160" w:hanging="2160"/>
        <w:jc w:val="both"/>
        <w:rPr>
          <w:sz w:val="24"/>
          <w:szCs w:val="24"/>
        </w:rPr>
      </w:pPr>
      <w:r w:rsidRPr="00F85C75">
        <w:rPr>
          <w:sz w:val="24"/>
          <w:szCs w:val="24"/>
        </w:rPr>
        <w:t>submitted an updated site plan design for consideration</w:t>
      </w:r>
      <w:r w:rsidR="00905F19">
        <w:rPr>
          <w:sz w:val="24"/>
          <w:szCs w:val="24"/>
        </w:rPr>
        <w:t xml:space="preserve">.  </w:t>
      </w:r>
      <w:r w:rsidR="002D38E4">
        <w:rPr>
          <w:sz w:val="24"/>
          <w:szCs w:val="24"/>
        </w:rPr>
        <w:t xml:space="preserve">Originally, the plan was </w:t>
      </w:r>
    </w:p>
    <w:p w14:paraId="5334F5FB" w14:textId="77777777" w:rsidR="0093628F" w:rsidRDefault="002D38E4" w:rsidP="00421281">
      <w:pPr>
        <w:ind w:left="2160" w:hanging="2160"/>
        <w:jc w:val="both"/>
        <w:rPr>
          <w:sz w:val="24"/>
          <w:szCs w:val="24"/>
        </w:rPr>
      </w:pPr>
      <w:r>
        <w:rPr>
          <w:sz w:val="24"/>
          <w:szCs w:val="24"/>
        </w:rPr>
        <w:t xml:space="preserve">for 304,000 solar panels to be installed on 700 acres of parcel id 031-012.  The </w:t>
      </w:r>
    </w:p>
    <w:p w14:paraId="3E7186B6" w14:textId="77777777" w:rsidR="0093628F" w:rsidRDefault="002D38E4" w:rsidP="00421281">
      <w:pPr>
        <w:ind w:left="2160" w:hanging="2160"/>
        <w:jc w:val="both"/>
        <w:rPr>
          <w:sz w:val="24"/>
          <w:szCs w:val="24"/>
        </w:rPr>
      </w:pPr>
      <w:r>
        <w:rPr>
          <w:sz w:val="24"/>
          <w:szCs w:val="24"/>
        </w:rPr>
        <w:t>updated site plan calls for approximately 4</w:t>
      </w:r>
      <w:r w:rsidR="007076CD">
        <w:rPr>
          <w:sz w:val="24"/>
          <w:szCs w:val="24"/>
        </w:rPr>
        <w:t>5</w:t>
      </w:r>
      <w:r>
        <w:rPr>
          <w:sz w:val="24"/>
          <w:szCs w:val="24"/>
        </w:rPr>
        <w:t>1,</w:t>
      </w:r>
      <w:r w:rsidR="007076CD">
        <w:rPr>
          <w:sz w:val="24"/>
          <w:szCs w:val="24"/>
        </w:rPr>
        <w:t>6</w:t>
      </w:r>
      <w:r>
        <w:rPr>
          <w:sz w:val="24"/>
          <w:szCs w:val="24"/>
        </w:rPr>
        <w:t xml:space="preserve">00 solar panels to be installed over </w:t>
      </w:r>
    </w:p>
    <w:p w14:paraId="112EB0E1" w14:textId="77777777" w:rsidR="0093628F" w:rsidRDefault="002D38E4" w:rsidP="00421281">
      <w:pPr>
        <w:ind w:left="2160" w:hanging="2160"/>
        <w:jc w:val="both"/>
        <w:rPr>
          <w:sz w:val="24"/>
          <w:szCs w:val="24"/>
        </w:rPr>
      </w:pPr>
      <w:r>
        <w:rPr>
          <w:sz w:val="24"/>
          <w:szCs w:val="24"/>
        </w:rPr>
        <w:t>9</w:t>
      </w:r>
      <w:r w:rsidR="0093628F">
        <w:rPr>
          <w:sz w:val="24"/>
          <w:szCs w:val="24"/>
        </w:rPr>
        <w:t>35</w:t>
      </w:r>
      <w:r>
        <w:rPr>
          <w:sz w:val="24"/>
          <w:szCs w:val="24"/>
        </w:rPr>
        <w:t xml:space="preserve"> acres of land spread across the 1671 acres of the three parcels.</w:t>
      </w:r>
      <w:r w:rsidR="00FD3D9A">
        <w:rPr>
          <w:sz w:val="24"/>
          <w:szCs w:val="24"/>
        </w:rPr>
        <w:t xml:space="preserve">  </w:t>
      </w:r>
      <w:r w:rsidR="0093628F">
        <w:rPr>
          <w:sz w:val="24"/>
          <w:szCs w:val="24"/>
        </w:rPr>
        <w:t xml:space="preserve">The proposed </w:t>
      </w:r>
    </w:p>
    <w:p w14:paraId="7FE026DF" w14:textId="3F5D1507" w:rsidR="00AD5DCC" w:rsidRDefault="0093628F" w:rsidP="00AD5DCC">
      <w:pPr>
        <w:ind w:left="2160" w:hanging="2160"/>
        <w:jc w:val="both"/>
        <w:rPr>
          <w:sz w:val="24"/>
          <w:szCs w:val="24"/>
        </w:rPr>
      </w:pPr>
      <w:r>
        <w:rPr>
          <w:sz w:val="24"/>
          <w:szCs w:val="24"/>
        </w:rPr>
        <w:t>site plan is in the board members’ packets.</w:t>
      </w:r>
      <w:r w:rsidR="00AD5DCC">
        <w:rPr>
          <w:sz w:val="24"/>
          <w:szCs w:val="24"/>
        </w:rPr>
        <w:t xml:space="preserve">  The updated site plan includes a 50</w:t>
      </w:r>
      <w:r w:rsidR="005A07F0">
        <w:rPr>
          <w:sz w:val="24"/>
          <w:szCs w:val="24"/>
        </w:rPr>
        <w:t>-</w:t>
      </w:r>
    </w:p>
    <w:p w14:paraId="5016D210" w14:textId="77777777" w:rsidR="005E00B2" w:rsidRDefault="00AD5DCC" w:rsidP="00AD5DCC">
      <w:pPr>
        <w:ind w:left="2160" w:hanging="2160"/>
        <w:jc w:val="both"/>
        <w:rPr>
          <w:sz w:val="24"/>
          <w:szCs w:val="24"/>
        </w:rPr>
      </w:pPr>
      <w:r>
        <w:rPr>
          <w:sz w:val="24"/>
          <w:szCs w:val="24"/>
        </w:rPr>
        <w:t xml:space="preserve">foot buffer and </w:t>
      </w:r>
      <w:r w:rsidR="005A07F0">
        <w:rPr>
          <w:sz w:val="24"/>
          <w:szCs w:val="24"/>
        </w:rPr>
        <w:t>200-foot</w:t>
      </w:r>
      <w:r>
        <w:rPr>
          <w:sz w:val="24"/>
          <w:szCs w:val="24"/>
        </w:rPr>
        <w:t xml:space="preserve"> setback along Flat Shoals Rd.  </w:t>
      </w:r>
      <w:r w:rsidR="005E00B2">
        <w:rPr>
          <w:sz w:val="24"/>
          <w:szCs w:val="24"/>
        </w:rPr>
        <w:t xml:space="preserve">With the increased buffer, </w:t>
      </w:r>
    </w:p>
    <w:p w14:paraId="17EDEF36" w14:textId="77777777" w:rsidR="005E00B2" w:rsidRDefault="005E00B2" w:rsidP="00AD5DCC">
      <w:pPr>
        <w:ind w:left="2160" w:hanging="2160"/>
        <w:jc w:val="both"/>
        <w:rPr>
          <w:sz w:val="24"/>
          <w:szCs w:val="24"/>
        </w:rPr>
      </w:pPr>
      <w:r>
        <w:rPr>
          <w:sz w:val="24"/>
          <w:szCs w:val="24"/>
        </w:rPr>
        <w:t xml:space="preserve">approximately 1050 acres of land will be included to house the project from the </w:t>
      </w:r>
    </w:p>
    <w:p w14:paraId="07B5987C" w14:textId="27A1CD6E" w:rsidR="0093628F" w:rsidRDefault="00E7694B" w:rsidP="00AD5DCC">
      <w:pPr>
        <w:ind w:left="2160" w:hanging="2160"/>
        <w:jc w:val="both"/>
        <w:rPr>
          <w:sz w:val="24"/>
          <w:szCs w:val="24"/>
        </w:rPr>
      </w:pPr>
      <w:r>
        <w:rPr>
          <w:sz w:val="24"/>
          <w:szCs w:val="24"/>
        </w:rPr>
        <w:t>1671-acre</w:t>
      </w:r>
      <w:r w:rsidR="005E00B2">
        <w:rPr>
          <w:sz w:val="24"/>
          <w:szCs w:val="24"/>
        </w:rPr>
        <w:t xml:space="preserve"> total of the parent tracts.</w:t>
      </w:r>
    </w:p>
    <w:p w14:paraId="0D04D102" w14:textId="0CD2EE54" w:rsidR="00AD5DCC" w:rsidRDefault="00AD5DCC" w:rsidP="00421281">
      <w:pPr>
        <w:ind w:left="2160" w:hanging="2160"/>
        <w:jc w:val="both"/>
        <w:rPr>
          <w:sz w:val="24"/>
          <w:szCs w:val="24"/>
        </w:rPr>
      </w:pPr>
    </w:p>
    <w:p w14:paraId="5F937025" w14:textId="6086CB2E" w:rsidR="00AD5DCC" w:rsidRDefault="00AD5DCC" w:rsidP="00421281">
      <w:pPr>
        <w:ind w:left="2160" w:hanging="2160"/>
        <w:jc w:val="both"/>
        <w:rPr>
          <w:sz w:val="24"/>
          <w:szCs w:val="24"/>
        </w:rPr>
      </w:pPr>
      <w:r>
        <w:rPr>
          <w:sz w:val="24"/>
          <w:szCs w:val="24"/>
        </w:rPr>
        <w:t>Per CH 166</w:t>
      </w:r>
      <w:r w:rsidR="005A07F0">
        <w:rPr>
          <w:sz w:val="24"/>
          <w:szCs w:val="24"/>
        </w:rPr>
        <w:t>.03</w:t>
      </w:r>
      <w:r>
        <w:rPr>
          <w:sz w:val="24"/>
          <w:szCs w:val="24"/>
        </w:rPr>
        <w:t xml:space="preserve">, Solar farms are only permissible via special exception in three </w:t>
      </w:r>
    </w:p>
    <w:p w14:paraId="30B0CF26" w14:textId="77777777" w:rsidR="00AD5DCC" w:rsidRDefault="00AD5DCC" w:rsidP="00421281">
      <w:pPr>
        <w:ind w:left="2160" w:hanging="2160"/>
        <w:jc w:val="both"/>
        <w:rPr>
          <w:sz w:val="24"/>
          <w:szCs w:val="24"/>
        </w:rPr>
      </w:pPr>
      <w:r>
        <w:rPr>
          <w:sz w:val="24"/>
          <w:szCs w:val="24"/>
        </w:rPr>
        <w:t xml:space="preserve">zoning districts:  A-R, Agricultural-Residential; C-3, Heavy Commercial; and </w:t>
      </w:r>
    </w:p>
    <w:p w14:paraId="6F9A9B5F" w14:textId="77777777" w:rsidR="00AD5DCC" w:rsidRDefault="00AD5DCC" w:rsidP="00421281">
      <w:pPr>
        <w:ind w:left="2160" w:hanging="2160"/>
        <w:jc w:val="both"/>
        <w:rPr>
          <w:sz w:val="24"/>
          <w:szCs w:val="24"/>
        </w:rPr>
      </w:pPr>
      <w:r>
        <w:rPr>
          <w:sz w:val="24"/>
          <w:szCs w:val="24"/>
        </w:rPr>
        <w:t xml:space="preserve">M2-B, Manufacturing Heavy.  Three Rivers Commission confirms that the size of </w:t>
      </w:r>
    </w:p>
    <w:p w14:paraId="1B9ABE00" w14:textId="77777777" w:rsidR="00E7694B" w:rsidRDefault="00AD5DCC" w:rsidP="00421281">
      <w:pPr>
        <w:ind w:left="2160" w:hanging="2160"/>
        <w:jc w:val="both"/>
        <w:rPr>
          <w:sz w:val="24"/>
          <w:szCs w:val="24"/>
        </w:rPr>
      </w:pPr>
      <w:r>
        <w:rPr>
          <w:sz w:val="24"/>
          <w:szCs w:val="24"/>
        </w:rPr>
        <w:t>the project does not qualify for a DRI (Development of Regional Impact) review.</w:t>
      </w:r>
      <w:r w:rsidR="00E7694B">
        <w:rPr>
          <w:sz w:val="24"/>
          <w:szCs w:val="24"/>
        </w:rPr>
        <w:t xml:space="preserve">  </w:t>
      </w:r>
    </w:p>
    <w:p w14:paraId="3255C852" w14:textId="3FB45A15" w:rsidR="00E7694B" w:rsidRDefault="00E7694B" w:rsidP="00421281">
      <w:pPr>
        <w:ind w:left="2160" w:hanging="2160"/>
        <w:jc w:val="both"/>
        <w:rPr>
          <w:sz w:val="24"/>
          <w:szCs w:val="24"/>
        </w:rPr>
      </w:pPr>
      <w:r>
        <w:rPr>
          <w:sz w:val="24"/>
          <w:szCs w:val="24"/>
        </w:rPr>
        <w:t xml:space="preserve">NRCS and EPD have confirmed that the EPD will have jurisdiction over all land </w:t>
      </w:r>
    </w:p>
    <w:p w14:paraId="6A40B459" w14:textId="77777777" w:rsidR="00E7694B" w:rsidRDefault="00E7694B" w:rsidP="00421281">
      <w:pPr>
        <w:ind w:left="2160" w:hanging="2160"/>
        <w:jc w:val="both"/>
        <w:rPr>
          <w:sz w:val="24"/>
          <w:szCs w:val="24"/>
        </w:rPr>
      </w:pPr>
      <w:r>
        <w:rPr>
          <w:sz w:val="24"/>
          <w:szCs w:val="24"/>
        </w:rPr>
        <w:t xml:space="preserve">disturbance permitting and enforcement.  There is a letter of support in each </w:t>
      </w:r>
    </w:p>
    <w:p w14:paraId="7ACA2BEC" w14:textId="77777777" w:rsidR="00E7694B" w:rsidRDefault="00E7694B" w:rsidP="00421281">
      <w:pPr>
        <w:ind w:left="2160" w:hanging="2160"/>
        <w:jc w:val="both"/>
        <w:rPr>
          <w:sz w:val="24"/>
          <w:szCs w:val="24"/>
        </w:rPr>
      </w:pPr>
      <w:r>
        <w:rPr>
          <w:sz w:val="24"/>
          <w:szCs w:val="24"/>
        </w:rPr>
        <w:t xml:space="preserve">members’ packets from John Edwards it was addressed to the Board of Appeals </w:t>
      </w:r>
    </w:p>
    <w:p w14:paraId="130DD3A0" w14:textId="20551317" w:rsidR="00AD5DCC" w:rsidRDefault="00E7694B" w:rsidP="00421281">
      <w:pPr>
        <w:ind w:left="2160" w:hanging="2160"/>
        <w:jc w:val="both"/>
        <w:rPr>
          <w:sz w:val="24"/>
          <w:szCs w:val="24"/>
        </w:rPr>
      </w:pPr>
      <w:r>
        <w:rPr>
          <w:sz w:val="24"/>
          <w:szCs w:val="24"/>
        </w:rPr>
        <w:t>and Board of Commissioners.</w:t>
      </w:r>
    </w:p>
    <w:p w14:paraId="2515AF9F" w14:textId="77777777" w:rsidR="00FA7F7C" w:rsidRDefault="00FA7F7C" w:rsidP="00421281">
      <w:pPr>
        <w:ind w:left="2160" w:hanging="2160"/>
        <w:jc w:val="both"/>
        <w:rPr>
          <w:sz w:val="24"/>
          <w:szCs w:val="24"/>
        </w:rPr>
      </w:pPr>
    </w:p>
    <w:p w14:paraId="0CBBC9C9" w14:textId="6ABF7B5E" w:rsidR="00C507E5" w:rsidRDefault="00421281" w:rsidP="00C507E5">
      <w:pPr>
        <w:pStyle w:val="Default"/>
        <w:rPr>
          <w:b/>
          <w:bCs/>
          <w:sz w:val="21"/>
          <w:szCs w:val="21"/>
        </w:rPr>
      </w:pPr>
      <w:r>
        <w:t>Recommendation:</w:t>
      </w:r>
      <w:r w:rsidR="00C507E5">
        <w:t xml:space="preserve"> Staff recommends the modification for special exception for </w:t>
      </w:r>
      <w:r w:rsidR="00C507E5">
        <w:rPr>
          <w:b/>
          <w:bCs/>
          <w:u w:val="single"/>
        </w:rPr>
        <w:t>APPROVAL</w:t>
      </w:r>
      <w:r w:rsidR="00C507E5">
        <w:t xml:space="preserve"> with the same conditions from SE-17-03: </w:t>
      </w:r>
    </w:p>
    <w:p w14:paraId="4EECADD3" w14:textId="77777777" w:rsidR="00C507E5" w:rsidRDefault="00C507E5" w:rsidP="00C507E5">
      <w:pPr>
        <w:pStyle w:val="Default"/>
        <w:rPr>
          <w:sz w:val="21"/>
          <w:szCs w:val="21"/>
        </w:rPr>
      </w:pPr>
    </w:p>
    <w:p w14:paraId="1B38D420" w14:textId="77777777" w:rsidR="00C507E5" w:rsidRDefault="00C507E5" w:rsidP="00C507E5">
      <w:pPr>
        <w:pStyle w:val="Default"/>
        <w:rPr>
          <w:sz w:val="21"/>
          <w:szCs w:val="21"/>
        </w:rPr>
      </w:pPr>
      <w:r>
        <w:rPr>
          <w:b/>
          <w:bCs/>
          <w:sz w:val="21"/>
          <w:szCs w:val="21"/>
        </w:rPr>
        <w:t xml:space="preserve">Revised Recommendations: Acceptance of Environmental Review Committee report, with the following conditions: </w:t>
      </w:r>
    </w:p>
    <w:p w14:paraId="6E2E9AA0" w14:textId="593710DE" w:rsidR="00C507E5" w:rsidRDefault="00C507E5" w:rsidP="00C507E5">
      <w:pPr>
        <w:pStyle w:val="Default"/>
        <w:rPr>
          <w:sz w:val="21"/>
          <w:szCs w:val="21"/>
        </w:rPr>
      </w:pPr>
      <w:r>
        <w:rPr>
          <w:b/>
          <w:bCs/>
          <w:sz w:val="21"/>
          <w:szCs w:val="21"/>
        </w:rPr>
        <w:t xml:space="preserve">1. Minimum 100-foot buffer from stream banks. </w:t>
      </w:r>
    </w:p>
    <w:p w14:paraId="0CEEE583" w14:textId="2C54FB3A" w:rsidR="00C507E5" w:rsidRDefault="00C507E5" w:rsidP="00C507E5">
      <w:pPr>
        <w:pStyle w:val="Default"/>
        <w:rPr>
          <w:sz w:val="21"/>
          <w:szCs w:val="21"/>
        </w:rPr>
      </w:pPr>
      <w:r>
        <w:rPr>
          <w:b/>
          <w:bCs/>
          <w:sz w:val="21"/>
          <w:szCs w:val="21"/>
        </w:rPr>
        <w:t xml:space="preserve">2. Minimum 50-foot buffer from property lines and road frontage, and minimum </w:t>
      </w:r>
      <w:r w:rsidR="00D148AF">
        <w:rPr>
          <w:b/>
          <w:bCs/>
          <w:sz w:val="21"/>
          <w:szCs w:val="21"/>
        </w:rPr>
        <w:t>200-foot</w:t>
      </w:r>
      <w:r>
        <w:rPr>
          <w:b/>
          <w:bCs/>
          <w:sz w:val="21"/>
          <w:szCs w:val="21"/>
        </w:rPr>
        <w:t xml:space="preserve"> setback from Highway 18 and North Madden Bridge Road for solar panels. </w:t>
      </w:r>
    </w:p>
    <w:p w14:paraId="43E78FF5" w14:textId="77777777" w:rsidR="00C507E5" w:rsidRDefault="00C507E5" w:rsidP="00C507E5">
      <w:pPr>
        <w:pStyle w:val="Default"/>
        <w:rPr>
          <w:sz w:val="21"/>
          <w:szCs w:val="21"/>
        </w:rPr>
      </w:pPr>
      <w:r>
        <w:rPr>
          <w:b/>
          <w:bCs/>
          <w:sz w:val="21"/>
          <w:szCs w:val="21"/>
        </w:rPr>
        <w:t xml:space="preserve">3. Evergreen buffer along Highway 18 as a visual screen. Where possible, retain existing vegetation along Highway 18. </w:t>
      </w:r>
    </w:p>
    <w:p w14:paraId="258A7AC7" w14:textId="77777777" w:rsidR="00C507E5" w:rsidRDefault="00C507E5" w:rsidP="00C507E5">
      <w:pPr>
        <w:pStyle w:val="Default"/>
        <w:rPr>
          <w:sz w:val="21"/>
          <w:szCs w:val="21"/>
        </w:rPr>
      </w:pPr>
      <w:r>
        <w:rPr>
          <w:b/>
          <w:bCs/>
          <w:sz w:val="21"/>
          <w:szCs w:val="21"/>
        </w:rPr>
        <w:t xml:space="preserve">4. No use of herbicides for vegetation control. </w:t>
      </w:r>
    </w:p>
    <w:p w14:paraId="4C94F6CA" w14:textId="77777777" w:rsidR="00C507E5" w:rsidRDefault="00C507E5" w:rsidP="00C507E5">
      <w:pPr>
        <w:pStyle w:val="Default"/>
        <w:rPr>
          <w:sz w:val="21"/>
          <w:szCs w:val="21"/>
        </w:rPr>
      </w:pPr>
      <w:r>
        <w:rPr>
          <w:b/>
          <w:bCs/>
          <w:sz w:val="21"/>
          <w:szCs w:val="21"/>
        </w:rPr>
        <w:t xml:space="preserve">5. Strong erosion and sediment control plan is required, with regular inspections to protect Elkins Creek. </w:t>
      </w:r>
    </w:p>
    <w:p w14:paraId="7378E8FB" w14:textId="77777777" w:rsidR="00D148AF" w:rsidRDefault="00D148AF" w:rsidP="00C507E5">
      <w:pPr>
        <w:pStyle w:val="Default"/>
        <w:rPr>
          <w:b/>
          <w:bCs/>
          <w:sz w:val="21"/>
          <w:szCs w:val="21"/>
        </w:rPr>
      </w:pPr>
    </w:p>
    <w:p w14:paraId="09CC7CB3" w14:textId="5336AC32" w:rsidR="00C507E5" w:rsidRDefault="00C507E5" w:rsidP="00C507E5">
      <w:pPr>
        <w:pStyle w:val="Default"/>
        <w:rPr>
          <w:sz w:val="21"/>
          <w:szCs w:val="21"/>
        </w:rPr>
      </w:pPr>
      <w:r>
        <w:rPr>
          <w:b/>
          <w:bCs/>
          <w:sz w:val="21"/>
          <w:szCs w:val="21"/>
        </w:rPr>
        <w:t xml:space="preserve">Revised Recommendations, 3.8.17: Approval with the listed conditions: </w:t>
      </w:r>
    </w:p>
    <w:p w14:paraId="04D8A64A" w14:textId="77777777" w:rsidR="00C507E5" w:rsidRDefault="00C507E5" w:rsidP="00C507E5">
      <w:pPr>
        <w:pStyle w:val="Default"/>
        <w:rPr>
          <w:sz w:val="21"/>
          <w:szCs w:val="21"/>
        </w:rPr>
      </w:pPr>
      <w:r>
        <w:rPr>
          <w:b/>
          <w:bCs/>
          <w:sz w:val="21"/>
          <w:szCs w:val="21"/>
        </w:rPr>
        <w:t xml:space="preserve">1. Any specified perimeter buffers on the property shall be honored and maintained. Board of Commissioners' approval for the landscape plan is required for the planted buffer along Highway 18, and the location and extent will need to be field located. </w:t>
      </w:r>
    </w:p>
    <w:p w14:paraId="06700E66" w14:textId="77777777" w:rsidR="00C507E5" w:rsidRDefault="00C507E5" w:rsidP="00C507E5">
      <w:pPr>
        <w:pStyle w:val="Default"/>
        <w:rPr>
          <w:sz w:val="21"/>
          <w:szCs w:val="21"/>
        </w:rPr>
      </w:pPr>
      <w:r>
        <w:rPr>
          <w:b/>
          <w:bCs/>
          <w:sz w:val="21"/>
          <w:szCs w:val="21"/>
        </w:rPr>
        <w:t xml:space="preserve">2. There shall be no unlawful encroachment into any specified state waters buffers or wetlands. </w:t>
      </w:r>
    </w:p>
    <w:p w14:paraId="13E5044C" w14:textId="77777777" w:rsidR="00C507E5" w:rsidRDefault="00C507E5" w:rsidP="00C507E5">
      <w:pPr>
        <w:pStyle w:val="Default"/>
        <w:rPr>
          <w:sz w:val="21"/>
          <w:szCs w:val="21"/>
        </w:rPr>
      </w:pPr>
      <w:r>
        <w:rPr>
          <w:b/>
          <w:bCs/>
          <w:sz w:val="21"/>
          <w:szCs w:val="21"/>
        </w:rPr>
        <w:t xml:space="preserve">3. Any land disturbance greater than 1 acre shall require approved erosion / sediment control plans and a land disturbance permit. </w:t>
      </w:r>
    </w:p>
    <w:p w14:paraId="53E295A6" w14:textId="77777777" w:rsidR="00C507E5" w:rsidRDefault="00C507E5" w:rsidP="00C507E5">
      <w:pPr>
        <w:pStyle w:val="Default"/>
        <w:rPr>
          <w:sz w:val="21"/>
          <w:szCs w:val="21"/>
        </w:rPr>
      </w:pPr>
      <w:r>
        <w:rPr>
          <w:b/>
          <w:bCs/>
          <w:sz w:val="21"/>
          <w:szCs w:val="21"/>
        </w:rPr>
        <w:lastRenderedPageBreak/>
        <w:t xml:space="preserve">4. An annual business license shall be required. </w:t>
      </w:r>
    </w:p>
    <w:p w14:paraId="3693EA6E" w14:textId="77777777" w:rsidR="00C507E5" w:rsidRDefault="00C507E5" w:rsidP="00C507E5">
      <w:pPr>
        <w:pStyle w:val="Default"/>
        <w:rPr>
          <w:sz w:val="21"/>
          <w:szCs w:val="21"/>
        </w:rPr>
      </w:pPr>
      <w:r>
        <w:rPr>
          <w:b/>
          <w:bCs/>
          <w:sz w:val="21"/>
          <w:szCs w:val="21"/>
        </w:rPr>
        <w:t xml:space="preserve">5. The proposal shall conform to any solar farm standards set forth in the Pike County Code, Chapter 166, except as may be otherwise conditioned. The bond amount specified in Section 166.06 shall be adhered to. </w:t>
      </w:r>
    </w:p>
    <w:p w14:paraId="639551BB" w14:textId="77777777" w:rsidR="00C507E5" w:rsidRDefault="00C507E5" w:rsidP="00C507E5">
      <w:pPr>
        <w:pStyle w:val="Default"/>
        <w:rPr>
          <w:sz w:val="21"/>
          <w:szCs w:val="21"/>
        </w:rPr>
      </w:pPr>
      <w:r>
        <w:rPr>
          <w:b/>
          <w:bCs/>
          <w:sz w:val="21"/>
          <w:szCs w:val="21"/>
        </w:rPr>
        <w:t xml:space="preserve">6. A formal study of wetlands and sensitive areas on the property needs to be completed prior to construction. </w:t>
      </w:r>
    </w:p>
    <w:p w14:paraId="726D4F9E" w14:textId="77777777" w:rsidR="00C507E5" w:rsidRDefault="00C507E5" w:rsidP="00C507E5">
      <w:pPr>
        <w:pStyle w:val="Default"/>
        <w:rPr>
          <w:sz w:val="21"/>
          <w:szCs w:val="21"/>
        </w:rPr>
      </w:pPr>
      <w:r>
        <w:rPr>
          <w:b/>
          <w:bCs/>
          <w:sz w:val="21"/>
          <w:szCs w:val="21"/>
        </w:rPr>
        <w:t xml:space="preserve">7. Herbicides shall not be used for vegetation control and maintenance. </w:t>
      </w:r>
    </w:p>
    <w:p w14:paraId="669454AF" w14:textId="77777777" w:rsidR="00C507E5" w:rsidRDefault="00C507E5" w:rsidP="00C507E5">
      <w:pPr>
        <w:pStyle w:val="Default"/>
        <w:rPr>
          <w:sz w:val="21"/>
          <w:szCs w:val="21"/>
        </w:rPr>
      </w:pPr>
      <w:r>
        <w:rPr>
          <w:b/>
          <w:bCs/>
          <w:sz w:val="21"/>
          <w:szCs w:val="21"/>
        </w:rPr>
        <w:t xml:space="preserve">8. Access to the solar farm via Nixon Road is prohibited. Access to the solar farm via North Madden Bridge Road shall be limited for the purpose of maintenance to the southwest substation area, and contingent upon the developer improving North Madden Bridge Road to applicable Pike County standards to the point of access of the substation area. </w:t>
      </w:r>
    </w:p>
    <w:p w14:paraId="6381BA2E" w14:textId="77777777" w:rsidR="00C507E5" w:rsidRDefault="00C507E5" w:rsidP="00C507E5">
      <w:pPr>
        <w:pStyle w:val="Default"/>
        <w:rPr>
          <w:sz w:val="21"/>
          <w:szCs w:val="21"/>
        </w:rPr>
      </w:pPr>
      <w:r>
        <w:rPr>
          <w:b/>
          <w:bCs/>
          <w:sz w:val="21"/>
          <w:szCs w:val="21"/>
        </w:rPr>
        <w:t xml:space="preserve">9. The final site plan shall be reviewed and approved by the Zoning Administrator. </w:t>
      </w:r>
    </w:p>
    <w:p w14:paraId="02D0532D" w14:textId="77777777" w:rsidR="00C507E5" w:rsidRDefault="00C507E5" w:rsidP="00C507E5">
      <w:pPr>
        <w:pStyle w:val="Default"/>
        <w:rPr>
          <w:sz w:val="21"/>
          <w:szCs w:val="21"/>
        </w:rPr>
      </w:pPr>
      <w:r>
        <w:rPr>
          <w:b/>
          <w:bCs/>
          <w:sz w:val="21"/>
          <w:szCs w:val="21"/>
        </w:rPr>
        <w:t xml:space="preserve">10. This approval is non-transferrable to any other use and shall continue to meet all conditions, criteria, and regulations in the event that the solar farm operation is sold or otherwise transferred. </w:t>
      </w:r>
    </w:p>
    <w:p w14:paraId="474B1EF3" w14:textId="77777777" w:rsidR="00C507E5" w:rsidRDefault="00C507E5" w:rsidP="00C507E5">
      <w:pPr>
        <w:ind w:left="2160" w:hanging="2160"/>
        <w:jc w:val="both"/>
        <w:rPr>
          <w:b/>
          <w:bCs/>
          <w:sz w:val="21"/>
          <w:szCs w:val="21"/>
        </w:rPr>
      </w:pPr>
      <w:r>
        <w:rPr>
          <w:b/>
          <w:bCs/>
          <w:sz w:val="21"/>
          <w:szCs w:val="21"/>
        </w:rPr>
        <w:t xml:space="preserve">11. Upon cessation of the solar farm, the subject property shall be restored, at no </w:t>
      </w:r>
    </w:p>
    <w:p w14:paraId="42F8F197" w14:textId="77777777" w:rsidR="00C507E5" w:rsidRDefault="00C507E5" w:rsidP="00C507E5">
      <w:pPr>
        <w:ind w:left="2160" w:hanging="2160"/>
        <w:jc w:val="both"/>
        <w:rPr>
          <w:b/>
          <w:bCs/>
          <w:sz w:val="21"/>
          <w:szCs w:val="21"/>
        </w:rPr>
      </w:pPr>
      <w:r>
        <w:rPr>
          <w:b/>
          <w:bCs/>
          <w:sz w:val="21"/>
          <w:szCs w:val="21"/>
        </w:rPr>
        <w:t xml:space="preserve">expense to Pike County, to the agricultural conditions of the property prior to the solar </w:t>
      </w:r>
    </w:p>
    <w:p w14:paraId="3A9A6C01" w14:textId="73C0B552" w:rsidR="00421281" w:rsidRPr="00C507E5" w:rsidRDefault="00C507E5" w:rsidP="00C507E5">
      <w:pPr>
        <w:ind w:left="2160" w:hanging="2160"/>
        <w:jc w:val="both"/>
        <w:rPr>
          <w:sz w:val="24"/>
          <w:szCs w:val="24"/>
        </w:rPr>
      </w:pPr>
      <w:r>
        <w:rPr>
          <w:b/>
          <w:bCs/>
          <w:sz w:val="21"/>
          <w:szCs w:val="21"/>
        </w:rPr>
        <w:t>farm development (i.e. removal of all solar panels and equipment).</w:t>
      </w:r>
    </w:p>
    <w:p w14:paraId="512E42A5" w14:textId="77777777" w:rsidR="00421281" w:rsidRDefault="00421281" w:rsidP="00421281">
      <w:pPr>
        <w:ind w:left="2160" w:hanging="2160"/>
        <w:jc w:val="both"/>
        <w:rPr>
          <w:sz w:val="24"/>
          <w:szCs w:val="24"/>
        </w:rPr>
      </w:pPr>
    </w:p>
    <w:p w14:paraId="76BF9D70" w14:textId="77777777" w:rsidR="00421281" w:rsidRDefault="00421281" w:rsidP="00421281">
      <w:pPr>
        <w:ind w:left="2160" w:hanging="2160"/>
        <w:jc w:val="both"/>
        <w:rPr>
          <w:sz w:val="24"/>
          <w:szCs w:val="24"/>
        </w:rPr>
      </w:pPr>
      <w:r>
        <w:rPr>
          <w:sz w:val="24"/>
          <w:szCs w:val="24"/>
        </w:rPr>
        <w:tab/>
      </w:r>
      <w:r>
        <w:rPr>
          <w:sz w:val="24"/>
          <w:szCs w:val="24"/>
        </w:rPr>
        <w:tab/>
      </w:r>
    </w:p>
    <w:p w14:paraId="3007C84D" w14:textId="77777777" w:rsidR="00421281" w:rsidRDefault="00421281" w:rsidP="00421281">
      <w:pPr>
        <w:ind w:left="2160" w:hanging="2160"/>
        <w:jc w:val="both"/>
        <w:rPr>
          <w:sz w:val="24"/>
          <w:szCs w:val="24"/>
        </w:rPr>
      </w:pPr>
      <w:r>
        <w:rPr>
          <w:sz w:val="24"/>
          <w:szCs w:val="24"/>
        </w:rPr>
        <w:tab/>
      </w:r>
    </w:p>
    <w:sectPr w:rsidR="00421281" w:rsidSect="00792C03">
      <w:headerReference w:type="default" r:id="rId8"/>
      <w:pgSz w:w="12240" w:h="15840" w:code="1"/>
      <w:pgMar w:top="2203" w:right="2520" w:bottom="1440" w:left="1800" w:header="1267" w:footer="1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9DE5" w14:textId="77777777" w:rsidR="00F85412" w:rsidRDefault="00F85412">
      <w:r>
        <w:separator/>
      </w:r>
    </w:p>
  </w:endnote>
  <w:endnote w:type="continuationSeparator" w:id="0">
    <w:p w14:paraId="1AA897D3" w14:textId="77777777" w:rsidR="00F85412" w:rsidRDefault="00F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BCD2" w14:textId="77777777" w:rsidR="00F85412" w:rsidRDefault="00F85412">
      <w:r>
        <w:separator/>
      </w:r>
    </w:p>
  </w:footnote>
  <w:footnote w:type="continuationSeparator" w:id="0">
    <w:p w14:paraId="5A7EA112" w14:textId="77777777" w:rsidR="00F85412" w:rsidRDefault="00F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ADBC" w14:textId="77777777" w:rsidR="0087652E" w:rsidRDefault="00F85412">
    <w:pPr>
      <w:pStyle w:val="Title"/>
      <w:ind w:left="2880" w:right="356"/>
      <w:rPr>
        <w:noProof/>
        <w:sz w:val="28"/>
      </w:rPr>
    </w:pPr>
    <w:r>
      <w:rPr>
        <w:noProof/>
        <w:sz w:val="28"/>
      </w:rPr>
      <w:object w:dxaOrig="1440" w:dyaOrig="1440" w14:anchorId="4A221CD4">
        <v:group id="_x0000_s2049" style="position:absolute;left:0;text-align:left;margin-left:3.6pt;margin-top:-12.95pt;width:100.8pt;height:100.8pt;z-index:251658240" coordorigin="3312,1440" coordsize="4464,44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032;top:2160;width:3225;height:2736">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3312;top:1440;width:4464;height:3888" fillcolor="black">
            <v:shadow color="#868686"/>
            <v:textpath style="font-family:&quot;Garamond&quot;;font-size:12pt" fitshape="t" trim="t" string=" Pike County Department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5" style="position:absolute;left:3312;top:1728;width:4464;height:4176" fillcolor="black">
            <v:shadow color="#868686"/>
            <v:textpath style="font-family:&quot;Garamond&quot;;font-size:12pt" fitshape="t" trim="t" string=" Of PLANNING AND DEVELOPMENT&#10;"/>
          </v:shape>
        </v:group>
        <o:OLEObject Type="Embed" ProgID="PBrush" ShapeID="_x0000_s2050" DrawAspect="Content" ObjectID="_1665580263" r:id="rId2"/>
      </w:object>
    </w:r>
    <w:r w:rsidR="0087652E">
      <w:rPr>
        <w:noProof/>
        <w:sz w:val="28"/>
      </w:rPr>
      <w:t>PLANNING AND DEVELOPMENT OFFICE</w:t>
    </w:r>
  </w:p>
  <w:p w14:paraId="283BB986" w14:textId="77777777" w:rsidR="0087652E" w:rsidRDefault="0087652E" w:rsidP="00AA1D04">
    <w:pPr>
      <w:pStyle w:val="Title"/>
      <w:ind w:left="2880" w:right="356"/>
      <w:rPr>
        <w:i/>
        <w:color w:val="FF0000"/>
        <w:sz w:val="24"/>
      </w:rPr>
    </w:pPr>
    <w:r>
      <w:rPr>
        <w:i/>
        <w:noProof/>
        <w:color w:val="FF0000"/>
        <w:sz w:val="22"/>
        <w:szCs w:val="22"/>
      </w:rPr>
      <w:t>P</w:t>
    </w:r>
    <w:r w:rsidRPr="00E8593D">
      <w:rPr>
        <w:i/>
        <w:noProof/>
        <w:color w:val="FF0000"/>
        <w:sz w:val="22"/>
        <w:szCs w:val="22"/>
      </w:rPr>
      <w:t>lanning – Zoning – Environment</w:t>
    </w:r>
    <w:r>
      <w:rPr>
        <w:i/>
        <w:noProof/>
        <w:color w:val="FF0000"/>
        <w:sz w:val="22"/>
        <w:szCs w:val="22"/>
      </w:rPr>
      <w:t>a</w:t>
    </w:r>
    <w:r w:rsidRPr="00E8593D">
      <w:rPr>
        <w:i/>
        <w:noProof/>
        <w:color w:val="FF0000"/>
        <w:sz w:val="22"/>
        <w:szCs w:val="22"/>
      </w:rPr>
      <w:t>l – Permits &amp; Inspections</w:t>
    </w:r>
    <w:r>
      <w:rPr>
        <w:i/>
        <w:color w:val="FF0000"/>
        <w:sz w:val="22"/>
        <w:szCs w:val="22"/>
      </w:rPr>
      <w:t xml:space="preserve"> </w:t>
    </w:r>
  </w:p>
  <w:p w14:paraId="16491450" w14:textId="77777777" w:rsidR="0087652E" w:rsidRPr="00AA1D04" w:rsidRDefault="0087652E" w:rsidP="00AA1D04">
    <w:pPr>
      <w:pStyle w:val="Title"/>
      <w:ind w:left="2880" w:right="356"/>
      <w:rPr>
        <w:i/>
        <w:color w:val="FF0000"/>
        <w:sz w:val="24"/>
      </w:rPr>
    </w:pPr>
    <w:r>
      <w:rPr>
        <w:i/>
        <w:color w:val="FF0000"/>
        <w:sz w:val="24"/>
      </w:rPr>
      <w:t xml:space="preserve">Code Enforcement </w:t>
    </w:r>
  </w:p>
  <w:p w14:paraId="0C9CFCBF" w14:textId="77777777" w:rsidR="0087652E" w:rsidRDefault="0087652E">
    <w:pPr>
      <w:pStyle w:val="Title"/>
      <w:ind w:left="2880" w:right="-360"/>
      <w:jc w:val="left"/>
      <w:rPr>
        <w:b/>
        <w:sz w:val="24"/>
      </w:rPr>
    </w:pPr>
    <w:r>
      <w:rPr>
        <w:b/>
        <w:sz w:val="24"/>
      </w:rPr>
      <w:t>P. O. Box 377                         Phone:  770-567-2007</w:t>
    </w:r>
  </w:p>
  <w:p w14:paraId="7D98E5A4" w14:textId="77777777" w:rsidR="0087652E" w:rsidRDefault="0087652E">
    <w:pPr>
      <w:pStyle w:val="Title"/>
      <w:ind w:left="2880" w:right="-360"/>
      <w:jc w:val="left"/>
      <w:rPr>
        <w:b/>
        <w:sz w:val="24"/>
      </w:rPr>
    </w:pPr>
    <w:r>
      <w:rPr>
        <w:b/>
        <w:sz w:val="24"/>
      </w:rPr>
      <w:t xml:space="preserve">77 Jackson Street </w:t>
    </w:r>
    <w:r>
      <w:rPr>
        <w:b/>
        <w:sz w:val="24"/>
      </w:rPr>
      <w:tab/>
    </w:r>
    <w:r>
      <w:rPr>
        <w:b/>
        <w:sz w:val="24"/>
      </w:rPr>
      <w:tab/>
      <w:t>Fax:  770-567-2024</w:t>
    </w:r>
  </w:p>
  <w:p w14:paraId="6DAEBA40" w14:textId="77777777" w:rsidR="0087652E" w:rsidRPr="00F95C26" w:rsidRDefault="0087652E">
    <w:pPr>
      <w:pStyle w:val="Title"/>
      <w:ind w:left="2880" w:right="-360"/>
      <w:jc w:val="left"/>
      <w:rPr>
        <w:b/>
        <w:sz w:val="20"/>
      </w:rPr>
    </w:pPr>
    <w:smartTag w:uri="urn:schemas-microsoft-com:office:smarttags" w:element="place">
      <w:smartTag w:uri="urn:schemas-microsoft-com:office:smarttags" w:element="City">
        <w:r>
          <w:rPr>
            <w:b/>
            <w:sz w:val="24"/>
          </w:rPr>
          <w:t>Zebulon</w:t>
        </w:r>
      </w:smartTag>
      <w:r>
        <w:rPr>
          <w:b/>
          <w:sz w:val="24"/>
        </w:rPr>
        <w:t xml:space="preserve">, </w:t>
      </w:r>
      <w:smartTag w:uri="urn:schemas-microsoft-com:office:smarttags" w:element="State">
        <w:r>
          <w:rPr>
            <w:b/>
            <w:sz w:val="24"/>
          </w:rPr>
          <w:t>GA</w:t>
        </w:r>
      </w:smartTag>
      <w:r>
        <w:rPr>
          <w:b/>
          <w:sz w:val="24"/>
        </w:rPr>
        <w:t xml:space="preserve">  </w:t>
      </w:r>
      <w:smartTag w:uri="urn:schemas-microsoft-com:office:smarttags" w:element="PostalCode">
        <w:r>
          <w:rPr>
            <w:b/>
            <w:sz w:val="24"/>
          </w:rPr>
          <w:t>30295</w:t>
        </w:r>
      </w:smartTag>
    </w:smartTag>
    <w:r>
      <w:rPr>
        <w:b/>
        <w:sz w:val="24"/>
      </w:rPr>
      <w:tab/>
    </w:r>
    <w:r>
      <w:rPr>
        <w:b/>
        <w:sz w:val="24"/>
      </w:rPr>
      <w:tab/>
    </w:r>
    <w:r w:rsidR="00F95C26" w:rsidRPr="00F95C26">
      <w:rPr>
        <w:b/>
        <w:sz w:val="20"/>
      </w:rPr>
      <w:t>sparks@pikecoga.com</w:t>
    </w:r>
  </w:p>
  <w:p w14:paraId="632C209C" w14:textId="77777777" w:rsidR="0087652E" w:rsidRPr="00E8593D" w:rsidRDefault="0087652E" w:rsidP="00E8593D">
    <w:pPr>
      <w:pStyle w:val="Title"/>
      <w:ind w:left="2880" w:right="-360"/>
      <w:jc w:val="left"/>
      <w:rPr>
        <w:i/>
        <w:color w:val="FF0000"/>
        <w:sz w:val="32"/>
      </w:rPr>
    </w:pPr>
    <w:r>
      <w:rPr>
        <w:i/>
        <w:color w:val="FF0000"/>
        <w:sz w:val="24"/>
      </w:rPr>
      <w:t xml:space="preserve">                      “Serving Citizens Responsibly”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60F"/>
    <w:multiLevelType w:val="hybridMultilevel"/>
    <w:tmpl w:val="4B44F814"/>
    <w:lvl w:ilvl="0" w:tplc="3F6689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07977"/>
    <w:multiLevelType w:val="hybridMultilevel"/>
    <w:tmpl w:val="CCB6D728"/>
    <w:lvl w:ilvl="0" w:tplc="CC0C7B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984786"/>
    <w:multiLevelType w:val="hybridMultilevel"/>
    <w:tmpl w:val="B874AC4A"/>
    <w:lvl w:ilvl="0" w:tplc="BB4CDADC">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A54FA0"/>
    <w:multiLevelType w:val="hybridMultilevel"/>
    <w:tmpl w:val="3DCAC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A65EE"/>
    <w:multiLevelType w:val="hybridMultilevel"/>
    <w:tmpl w:val="D4DEF124"/>
    <w:lvl w:ilvl="0" w:tplc="72AC8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35962"/>
    <w:multiLevelType w:val="hybridMultilevel"/>
    <w:tmpl w:val="74ECDC1C"/>
    <w:lvl w:ilvl="0" w:tplc="2B863B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E282B"/>
    <w:multiLevelType w:val="hybridMultilevel"/>
    <w:tmpl w:val="79D0ABEC"/>
    <w:lvl w:ilvl="0" w:tplc="FC169B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735E3F"/>
    <w:multiLevelType w:val="hybridMultilevel"/>
    <w:tmpl w:val="354880BE"/>
    <w:lvl w:ilvl="0" w:tplc="826CE0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C2D6DCF"/>
    <w:multiLevelType w:val="hybridMultilevel"/>
    <w:tmpl w:val="CD862856"/>
    <w:lvl w:ilvl="0" w:tplc="83FE3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E6945"/>
    <w:multiLevelType w:val="hybridMultilevel"/>
    <w:tmpl w:val="95243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A57061"/>
    <w:multiLevelType w:val="hybridMultilevel"/>
    <w:tmpl w:val="159AFBE0"/>
    <w:lvl w:ilvl="0" w:tplc="49629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0"/>
  </w:num>
  <w:num w:numId="5">
    <w:abstractNumId w:val="5"/>
  </w:num>
  <w:num w:numId="6">
    <w:abstractNumId w:val="10"/>
  </w:num>
  <w:num w:numId="7">
    <w:abstractNumId w:val="4"/>
  </w:num>
  <w:num w:numId="8">
    <w:abstractNumId w:val="9"/>
  </w:num>
  <w:num w:numId="9">
    <w:abstractNumId w:val="7"/>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A7F7C"/>
    <w:rsid w:val="00000089"/>
    <w:rsid w:val="00002E16"/>
    <w:rsid w:val="00015DE6"/>
    <w:rsid w:val="00016BCD"/>
    <w:rsid w:val="00020211"/>
    <w:rsid w:val="00023070"/>
    <w:rsid w:val="00025F32"/>
    <w:rsid w:val="00026760"/>
    <w:rsid w:val="000406FC"/>
    <w:rsid w:val="00055616"/>
    <w:rsid w:val="00063EA3"/>
    <w:rsid w:val="0007263D"/>
    <w:rsid w:val="00087B31"/>
    <w:rsid w:val="0009179E"/>
    <w:rsid w:val="000A13FE"/>
    <w:rsid w:val="000A28DF"/>
    <w:rsid w:val="000A2D82"/>
    <w:rsid w:val="000A7E0A"/>
    <w:rsid w:val="000B686E"/>
    <w:rsid w:val="000E178B"/>
    <w:rsid w:val="000F618D"/>
    <w:rsid w:val="001031F8"/>
    <w:rsid w:val="001136E8"/>
    <w:rsid w:val="001304FB"/>
    <w:rsid w:val="0015443C"/>
    <w:rsid w:val="00181420"/>
    <w:rsid w:val="00193088"/>
    <w:rsid w:val="00193A50"/>
    <w:rsid w:val="001A33E1"/>
    <w:rsid w:val="001B0362"/>
    <w:rsid w:val="001B2B76"/>
    <w:rsid w:val="001C42F7"/>
    <w:rsid w:val="001D1392"/>
    <w:rsid w:val="001F098B"/>
    <w:rsid w:val="002072E2"/>
    <w:rsid w:val="00207838"/>
    <w:rsid w:val="00233EBC"/>
    <w:rsid w:val="00235D1E"/>
    <w:rsid w:val="002615FE"/>
    <w:rsid w:val="00265C38"/>
    <w:rsid w:val="0027788B"/>
    <w:rsid w:val="002A000A"/>
    <w:rsid w:val="002A66CF"/>
    <w:rsid w:val="002B1BE2"/>
    <w:rsid w:val="002B79CE"/>
    <w:rsid w:val="002C1AD7"/>
    <w:rsid w:val="002C2DB3"/>
    <w:rsid w:val="002D0F48"/>
    <w:rsid w:val="002D38E4"/>
    <w:rsid w:val="00307FAA"/>
    <w:rsid w:val="003166E9"/>
    <w:rsid w:val="00362C13"/>
    <w:rsid w:val="003658C5"/>
    <w:rsid w:val="00375C38"/>
    <w:rsid w:val="00383053"/>
    <w:rsid w:val="003938E5"/>
    <w:rsid w:val="00396EFF"/>
    <w:rsid w:val="003C090D"/>
    <w:rsid w:val="003C2C9B"/>
    <w:rsid w:val="003C3F39"/>
    <w:rsid w:val="003C6D03"/>
    <w:rsid w:val="003C725E"/>
    <w:rsid w:val="003D28B6"/>
    <w:rsid w:val="003F4A36"/>
    <w:rsid w:val="00400960"/>
    <w:rsid w:val="00404658"/>
    <w:rsid w:val="00412F3A"/>
    <w:rsid w:val="004177D8"/>
    <w:rsid w:val="00421281"/>
    <w:rsid w:val="004212E1"/>
    <w:rsid w:val="00424FFC"/>
    <w:rsid w:val="00430A6F"/>
    <w:rsid w:val="00441980"/>
    <w:rsid w:val="004615A1"/>
    <w:rsid w:val="00467DB4"/>
    <w:rsid w:val="00475A73"/>
    <w:rsid w:val="004A59B3"/>
    <w:rsid w:val="004B34B9"/>
    <w:rsid w:val="004B42F5"/>
    <w:rsid w:val="004C438E"/>
    <w:rsid w:val="004C5310"/>
    <w:rsid w:val="004D0F2E"/>
    <w:rsid w:val="004D0FA0"/>
    <w:rsid w:val="004E3698"/>
    <w:rsid w:val="00505107"/>
    <w:rsid w:val="0050758F"/>
    <w:rsid w:val="0053424D"/>
    <w:rsid w:val="00540288"/>
    <w:rsid w:val="00540449"/>
    <w:rsid w:val="005463CD"/>
    <w:rsid w:val="005510B3"/>
    <w:rsid w:val="00552D05"/>
    <w:rsid w:val="0057728A"/>
    <w:rsid w:val="005811D1"/>
    <w:rsid w:val="00584252"/>
    <w:rsid w:val="00592D94"/>
    <w:rsid w:val="005A07F0"/>
    <w:rsid w:val="005A26FB"/>
    <w:rsid w:val="005A4DC9"/>
    <w:rsid w:val="005C36EE"/>
    <w:rsid w:val="005D6530"/>
    <w:rsid w:val="005E00B2"/>
    <w:rsid w:val="005E744B"/>
    <w:rsid w:val="005F0D9B"/>
    <w:rsid w:val="005F1D7D"/>
    <w:rsid w:val="006111C5"/>
    <w:rsid w:val="00622D51"/>
    <w:rsid w:val="00636EA0"/>
    <w:rsid w:val="00655876"/>
    <w:rsid w:val="00656873"/>
    <w:rsid w:val="006829BA"/>
    <w:rsid w:val="00690598"/>
    <w:rsid w:val="00692C36"/>
    <w:rsid w:val="006B4357"/>
    <w:rsid w:val="006D0137"/>
    <w:rsid w:val="006D5269"/>
    <w:rsid w:val="006F003B"/>
    <w:rsid w:val="006F046C"/>
    <w:rsid w:val="006F7A08"/>
    <w:rsid w:val="007076CD"/>
    <w:rsid w:val="00715F77"/>
    <w:rsid w:val="00737766"/>
    <w:rsid w:val="00744B90"/>
    <w:rsid w:val="00753C21"/>
    <w:rsid w:val="007547DC"/>
    <w:rsid w:val="00762956"/>
    <w:rsid w:val="00792C03"/>
    <w:rsid w:val="007B17CC"/>
    <w:rsid w:val="007C1EF3"/>
    <w:rsid w:val="007D1C0D"/>
    <w:rsid w:val="007D396D"/>
    <w:rsid w:val="007D6E27"/>
    <w:rsid w:val="007F3E2A"/>
    <w:rsid w:val="008036E1"/>
    <w:rsid w:val="0080428E"/>
    <w:rsid w:val="00806A07"/>
    <w:rsid w:val="00812970"/>
    <w:rsid w:val="008166CD"/>
    <w:rsid w:val="008379C6"/>
    <w:rsid w:val="00841B31"/>
    <w:rsid w:val="008442F7"/>
    <w:rsid w:val="00847E79"/>
    <w:rsid w:val="008565F8"/>
    <w:rsid w:val="0086338D"/>
    <w:rsid w:val="008705F1"/>
    <w:rsid w:val="0087652E"/>
    <w:rsid w:val="00880134"/>
    <w:rsid w:val="00881760"/>
    <w:rsid w:val="00885E64"/>
    <w:rsid w:val="0088728D"/>
    <w:rsid w:val="008911D8"/>
    <w:rsid w:val="0089279D"/>
    <w:rsid w:val="00894B23"/>
    <w:rsid w:val="008A37C9"/>
    <w:rsid w:val="008B1698"/>
    <w:rsid w:val="008C0723"/>
    <w:rsid w:val="008C34BB"/>
    <w:rsid w:val="008C54D8"/>
    <w:rsid w:val="008F1454"/>
    <w:rsid w:val="008F2874"/>
    <w:rsid w:val="008F52B0"/>
    <w:rsid w:val="00905F19"/>
    <w:rsid w:val="009119D1"/>
    <w:rsid w:val="00911BA1"/>
    <w:rsid w:val="00914562"/>
    <w:rsid w:val="009168E5"/>
    <w:rsid w:val="0093628F"/>
    <w:rsid w:val="00936BA8"/>
    <w:rsid w:val="00941BFC"/>
    <w:rsid w:val="00952013"/>
    <w:rsid w:val="009645F1"/>
    <w:rsid w:val="00967528"/>
    <w:rsid w:val="00984B18"/>
    <w:rsid w:val="009B0444"/>
    <w:rsid w:val="009B4715"/>
    <w:rsid w:val="009C0D33"/>
    <w:rsid w:val="009C6323"/>
    <w:rsid w:val="009C7632"/>
    <w:rsid w:val="009D698E"/>
    <w:rsid w:val="009F0AC2"/>
    <w:rsid w:val="009F5D82"/>
    <w:rsid w:val="00A01AD4"/>
    <w:rsid w:val="00A21E84"/>
    <w:rsid w:val="00A432AB"/>
    <w:rsid w:val="00A513F3"/>
    <w:rsid w:val="00A7376C"/>
    <w:rsid w:val="00A9419C"/>
    <w:rsid w:val="00AA1D04"/>
    <w:rsid w:val="00AC1812"/>
    <w:rsid w:val="00AC7A5D"/>
    <w:rsid w:val="00AD3266"/>
    <w:rsid w:val="00AD5DCC"/>
    <w:rsid w:val="00AE54E6"/>
    <w:rsid w:val="00AE7986"/>
    <w:rsid w:val="00B15BF7"/>
    <w:rsid w:val="00B26C0E"/>
    <w:rsid w:val="00B371E7"/>
    <w:rsid w:val="00B41A2B"/>
    <w:rsid w:val="00B605D3"/>
    <w:rsid w:val="00B639DD"/>
    <w:rsid w:val="00B6491A"/>
    <w:rsid w:val="00B71E89"/>
    <w:rsid w:val="00B802AD"/>
    <w:rsid w:val="00B821B4"/>
    <w:rsid w:val="00B83EF2"/>
    <w:rsid w:val="00B86D55"/>
    <w:rsid w:val="00B96684"/>
    <w:rsid w:val="00BA3BBA"/>
    <w:rsid w:val="00BB21BF"/>
    <w:rsid w:val="00BB7F3C"/>
    <w:rsid w:val="00BC1D62"/>
    <w:rsid w:val="00BC6A77"/>
    <w:rsid w:val="00BD7B91"/>
    <w:rsid w:val="00BE605C"/>
    <w:rsid w:val="00BE6146"/>
    <w:rsid w:val="00C00D68"/>
    <w:rsid w:val="00C1024F"/>
    <w:rsid w:val="00C13E92"/>
    <w:rsid w:val="00C149F5"/>
    <w:rsid w:val="00C15D02"/>
    <w:rsid w:val="00C360CE"/>
    <w:rsid w:val="00C42A49"/>
    <w:rsid w:val="00C507E5"/>
    <w:rsid w:val="00C72269"/>
    <w:rsid w:val="00C9693A"/>
    <w:rsid w:val="00CA06E7"/>
    <w:rsid w:val="00CA0F5F"/>
    <w:rsid w:val="00CD151C"/>
    <w:rsid w:val="00CD511D"/>
    <w:rsid w:val="00CE232A"/>
    <w:rsid w:val="00CF3ABD"/>
    <w:rsid w:val="00CF5608"/>
    <w:rsid w:val="00D035EB"/>
    <w:rsid w:val="00D12FAF"/>
    <w:rsid w:val="00D148AF"/>
    <w:rsid w:val="00D23ADF"/>
    <w:rsid w:val="00D329C4"/>
    <w:rsid w:val="00D35687"/>
    <w:rsid w:val="00D4532C"/>
    <w:rsid w:val="00D47A10"/>
    <w:rsid w:val="00D5111A"/>
    <w:rsid w:val="00D5153C"/>
    <w:rsid w:val="00D6160C"/>
    <w:rsid w:val="00D6249A"/>
    <w:rsid w:val="00D956AA"/>
    <w:rsid w:val="00DA30A6"/>
    <w:rsid w:val="00DB54A6"/>
    <w:rsid w:val="00DB58A7"/>
    <w:rsid w:val="00DE115C"/>
    <w:rsid w:val="00E00588"/>
    <w:rsid w:val="00E01C38"/>
    <w:rsid w:val="00E0480F"/>
    <w:rsid w:val="00E10B74"/>
    <w:rsid w:val="00E16CCA"/>
    <w:rsid w:val="00E2185E"/>
    <w:rsid w:val="00E30F5D"/>
    <w:rsid w:val="00E44041"/>
    <w:rsid w:val="00E441F9"/>
    <w:rsid w:val="00E55EB8"/>
    <w:rsid w:val="00E70BD3"/>
    <w:rsid w:val="00E7330D"/>
    <w:rsid w:val="00E7694B"/>
    <w:rsid w:val="00E83C10"/>
    <w:rsid w:val="00E8593D"/>
    <w:rsid w:val="00EA2029"/>
    <w:rsid w:val="00EB0BD1"/>
    <w:rsid w:val="00ED5A1C"/>
    <w:rsid w:val="00EE2F37"/>
    <w:rsid w:val="00EF43FF"/>
    <w:rsid w:val="00F042A4"/>
    <w:rsid w:val="00F052E8"/>
    <w:rsid w:val="00F11C47"/>
    <w:rsid w:val="00F12B91"/>
    <w:rsid w:val="00F17597"/>
    <w:rsid w:val="00F22A42"/>
    <w:rsid w:val="00F32F28"/>
    <w:rsid w:val="00F358BC"/>
    <w:rsid w:val="00F45236"/>
    <w:rsid w:val="00F53DBD"/>
    <w:rsid w:val="00F54CAC"/>
    <w:rsid w:val="00F721B1"/>
    <w:rsid w:val="00F72E9F"/>
    <w:rsid w:val="00F804E8"/>
    <w:rsid w:val="00F85412"/>
    <w:rsid w:val="00F95C26"/>
    <w:rsid w:val="00F97D9A"/>
    <w:rsid w:val="00FA7F7C"/>
    <w:rsid w:val="00FB42DD"/>
    <w:rsid w:val="00FB58D0"/>
    <w:rsid w:val="00FB645A"/>
    <w:rsid w:val="00FD331C"/>
    <w:rsid w:val="00FD3C8C"/>
    <w:rsid w:val="00FD3D9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14:docId w14:val="17541805"/>
  <w15:docId w15:val="{0229124B-40C3-4358-8A89-3A3BBE04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588"/>
  </w:style>
  <w:style w:type="paragraph" w:styleId="Heading1">
    <w:name w:val="heading 1"/>
    <w:basedOn w:val="Normal"/>
    <w:next w:val="Normal"/>
    <w:qFormat/>
    <w:rsid w:val="00E00588"/>
    <w:pPr>
      <w:keepNext/>
      <w:outlineLvl w:val="0"/>
    </w:pPr>
    <w:rPr>
      <w:sz w:val="24"/>
    </w:rPr>
  </w:style>
  <w:style w:type="paragraph" w:styleId="Heading2">
    <w:name w:val="heading 2"/>
    <w:basedOn w:val="Normal"/>
    <w:next w:val="Normal"/>
    <w:qFormat/>
    <w:rsid w:val="00E00588"/>
    <w:pPr>
      <w:keepNext/>
      <w:outlineLvl w:val="1"/>
    </w:pPr>
    <w:rPr>
      <w:b/>
      <w:sz w:val="24"/>
    </w:rPr>
  </w:style>
  <w:style w:type="paragraph" w:styleId="Heading3">
    <w:name w:val="heading 3"/>
    <w:basedOn w:val="Normal"/>
    <w:next w:val="Normal"/>
    <w:qFormat/>
    <w:rsid w:val="00E00588"/>
    <w:pPr>
      <w:keepNext/>
      <w:ind w:left="-720" w:right="-720"/>
      <w:jc w:val="center"/>
      <w:outlineLvl w:val="2"/>
    </w:pPr>
    <w:rPr>
      <w:sz w:val="32"/>
    </w:rPr>
  </w:style>
  <w:style w:type="paragraph" w:styleId="Heading4">
    <w:name w:val="heading 4"/>
    <w:basedOn w:val="Normal"/>
    <w:next w:val="Normal"/>
    <w:qFormat/>
    <w:rsid w:val="00E00588"/>
    <w:pPr>
      <w:keepNext/>
      <w:outlineLvl w:val="3"/>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rsid w:val="00E0058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Title">
    <w:name w:val="Title"/>
    <w:basedOn w:val="Normal"/>
    <w:qFormat/>
    <w:rsid w:val="00E00588"/>
    <w:pPr>
      <w:ind w:left="-720" w:right="-720"/>
      <w:jc w:val="center"/>
    </w:pPr>
    <w:rPr>
      <w:rFonts w:ascii="Garamond" w:hAnsi="Garamond"/>
      <w:sz w:val="52"/>
    </w:rPr>
  </w:style>
  <w:style w:type="paragraph" w:styleId="Header">
    <w:name w:val="header"/>
    <w:basedOn w:val="Normal"/>
    <w:rsid w:val="00E00588"/>
    <w:pPr>
      <w:tabs>
        <w:tab w:val="center" w:pos="4320"/>
        <w:tab w:val="right" w:pos="8640"/>
      </w:tabs>
    </w:pPr>
  </w:style>
  <w:style w:type="paragraph" w:styleId="Footer">
    <w:name w:val="footer"/>
    <w:basedOn w:val="Normal"/>
    <w:rsid w:val="00E00588"/>
    <w:pPr>
      <w:tabs>
        <w:tab w:val="center" w:pos="4320"/>
        <w:tab w:val="right" w:pos="8640"/>
      </w:tabs>
    </w:pPr>
  </w:style>
  <w:style w:type="character" w:styleId="Hyperlink">
    <w:name w:val="Hyperlink"/>
    <w:basedOn w:val="DefaultParagraphFont"/>
    <w:rsid w:val="00E00588"/>
    <w:rPr>
      <w:color w:val="0000FF"/>
      <w:u w:val="single"/>
    </w:rPr>
  </w:style>
  <w:style w:type="paragraph" w:styleId="BalloonText">
    <w:name w:val="Balloon Text"/>
    <w:basedOn w:val="Normal"/>
    <w:semiHidden/>
    <w:rsid w:val="003166E9"/>
    <w:rPr>
      <w:rFonts w:ascii="Tahoma" w:hAnsi="Tahoma" w:cs="Tahoma"/>
      <w:sz w:val="16"/>
      <w:szCs w:val="16"/>
    </w:rPr>
  </w:style>
  <w:style w:type="paragraph" w:styleId="DocumentMap">
    <w:name w:val="Document Map"/>
    <w:basedOn w:val="Normal"/>
    <w:semiHidden/>
    <w:rsid w:val="00B802AD"/>
    <w:pPr>
      <w:shd w:val="clear" w:color="auto" w:fill="000080"/>
    </w:pPr>
    <w:rPr>
      <w:rFonts w:ascii="Tahoma" w:hAnsi="Tahoma" w:cs="Tahoma"/>
    </w:rPr>
  </w:style>
  <w:style w:type="paragraph" w:customStyle="1" w:styleId="Default">
    <w:name w:val="Default"/>
    <w:rsid w:val="00C507E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9799">
      <w:bodyDiv w:val="1"/>
      <w:marLeft w:val="0"/>
      <w:marRight w:val="0"/>
      <w:marTop w:val="0"/>
      <w:marBottom w:val="0"/>
      <w:divBdr>
        <w:top w:val="none" w:sz="0" w:space="0" w:color="auto"/>
        <w:left w:val="none" w:sz="0" w:space="0" w:color="auto"/>
        <w:bottom w:val="none" w:sz="0" w:space="0" w:color="auto"/>
        <w:right w:val="none" w:sz="0" w:space="0" w:color="auto"/>
      </w:divBdr>
    </w:div>
    <w:div w:id="3576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esktop\Agenda%20Template%20BOC%20PC%20BOA.dotx" TargetMode="External"/></Relationships>
</file>

<file path=word/theme/theme1.xml><?xml version="1.0" encoding="utf-8"?>
<a:theme xmlns:a="http://schemas.openxmlformats.org/drawingml/2006/main" name="Office Theme">
  <a:themeElements>
    <a:clrScheme name="Custom 1">
      <a:dk1>
        <a:srgbClr val="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CBAAE-571F-4E92-A73A-0F1C37D6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BOC PC BOA</Template>
  <TotalTime>19</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PIKE COUNTY BUILDING &amp; ZONING</vt:lpstr>
    </vt:vector>
  </TitlesOfParts>
  <Company>Building and Zoning</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BUILDING &amp; ZONING</dc:title>
  <dc:creator>Brad Vaughan</dc:creator>
  <cp:lastModifiedBy>Brad  Vaughan</cp:lastModifiedBy>
  <cp:revision>4</cp:revision>
  <cp:lastPrinted>2018-07-06T18:41:00Z</cp:lastPrinted>
  <dcterms:created xsi:type="dcterms:W3CDTF">2020-10-27T13:13:00Z</dcterms:created>
  <dcterms:modified xsi:type="dcterms:W3CDTF">2020-10-30T20:24:00Z</dcterms:modified>
</cp:coreProperties>
</file>